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DocTitle"/>
        <w:jc w:val="left"/>
      </w:pPr>
      <w:r>
        <w:t xml:space="preserve">YEAR TWO LESSON PLANNER — WEEK 18</w:t>
      </w:r>
    </w:p>
    <w:p>
      <w:pPr>
        <w:pStyle w:val="DocSubtitle"/>
        <w:jc w:val="left"/>
      </w:pPr>
      <w:r>
        <w:t xml:space="preserve">Characteristic Features Of A Seashore Habitat, And Adaptations Of Organisms — Diversity of living things and their Environment</w:t>
      </w:r>
    </w:p>
    <w:tbl>
      <w:tblPr>
        <w:tblW w:type="dxa" w:w="12950"/>
        <w:tblBorders>
          <w:top w:val="single" w:color="auto" w:sz="4"/>
          <w:left w:val="single" w:color="auto" w:sz="4"/>
          <w:bottom w:val="single" w:color="auto" w:sz="4"/>
          <w:right w:val="single" w:color="auto" w:sz="4"/>
          <w:insideH w:val="single" w:color="auto" w:sz="4"/>
          <w:insideV w:val="single" w:color="auto" w:sz="4"/>
        </w:tblBorders>
      </w:tblPr>
      <w:tblGrid>
        <w:gridCol w:w="2660"/>
        <w:gridCol w:w="2986"/>
        <w:gridCol w:w="1538"/>
        <w:gridCol w:w="1080"/>
        <w:gridCol w:w="1593"/>
        <w:gridCol w:w="1075"/>
        <w:gridCol w:w="1093"/>
        <w:gridCol w:w="925"/>
      </w:tblGrid>
      <w:tr>
        <w:tc>
          <w:tcPr>
            <w:tcW w:type="dxa" w:w="12950"/>
            <w:gridSpan w:val="8"/>
            <w:shd w:fill="FFFFFF" w:color="auto" w:val="clear"/>
            <w:tcMar>
              <w:top w:type="dxa" w:w="60"/>
              <w:left w:type="dxa" w:w="90"/>
              <w:bottom w:type="dxa" w:w="60"/>
              <w:right w:type="dxa" w:w="90"/>
            </w:tcMar>
            <w:vAlign w:val="center"/>
          </w:tcPr>
          <w:p>
            <w:pPr>
              <w:spacing w:after="60"/>
            </w:pPr>
            <w:r>
              <w:rPr>
                <w:b/>
                <w:bCs/>
              </w:rPr>
              <w:t xml:space="preserve">Name of Subject: Biology</w:t>
            </w:r>
          </w:p>
        </w:tc>
      </w:tr>
      <w:tr>
        <w:tc>
          <w:tcPr>
            <w:tcW w:type="dxa" w:w="12950"/>
            <w:gridSpan w:val="8"/>
            <w:shd w:fill="F6C5AC" w:color="auto" w:val="clear"/>
            <w:tcMar>
              <w:top w:type="dxa" w:w="60"/>
              <w:left w:type="dxa" w:w="90"/>
              <w:bottom w:type="dxa" w:w="60"/>
              <w:right w:type="dxa" w:w="90"/>
            </w:tcMar>
            <w:vAlign w:val="center"/>
          </w:tcPr>
          <w:p>
            <w:pPr>
              <w:spacing w:after="60"/>
            </w:pPr>
            <w:r>
              <w:rPr>
                <w:b/>
                <w:bCs/>
              </w:rPr>
              <w:t xml:space="preserve">Learning Planner Template Year Two</w:t>
            </w:r>
          </w:p>
        </w:tc>
      </w:tr>
      <w:tr>
        <w:tc>
          <w:tcPr>
            <w:tcW w:type="dxa" w:w="2660"/>
            <w:shd w:fill="F2CEED" w:color="auto" w:val="clear"/>
            <w:tcMar>
              <w:top w:type="dxa" w:w="60"/>
              <w:left w:type="dxa" w:w="90"/>
              <w:bottom w:type="dxa" w:w="60"/>
              <w:right w:type="dxa" w:w="90"/>
            </w:tcMar>
            <w:vAlign w:val="center"/>
          </w:tcPr>
          <w:p>
            <w:pPr>
              <w:spacing w:after="60"/>
            </w:pPr>
            <w:r>
              <w:rPr>
                <w:b/>
                <w:bCs/>
              </w:rPr>
              <w:t xml:space="preserve">Number of Learners in Class</w:t>
            </w:r>
          </w:p>
        </w:tc>
        <w:tc>
          <w:tcPr>
            <w:tcW w:type="dxa" w:w="2986"/>
            <w:shd w:fill="FFFFFF" w:color="auto" w:val="clear"/>
            <w:tcMar>
              <w:top w:type="dxa" w:w="60"/>
              <w:left w:type="dxa" w:w="90"/>
              <w:bottom w:type="dxa" w:w="60"/>
              <w:right w:type="dxa" w:w="90"/>
            </w:tcMar>
            <w:vAlign w:val="center"/>
          </w:tcPr>
          <w:p>
            <w:pPr>
              <w:spacing w:after="60"/>
            </w:pPr>
            <w:r>
              <w:t xml:space="preserve">45</w:t>
            </w:r>
          </w:p>
        </w:tc>
        <w:tc>
          <w:tcPr>
            <w:tcW w:type="dxa" w:w="1538"/>
            <w:shd w:fill="F2CEED" w:color="auto" w:val="clear"/>
            <w:tcMar>
              <w:top w:type="dxa" w:w="60"/>
              <w:left w:type="dxa" w:w="90"/>
              <w:bottom w:type="dxa" w:w="60"/>
              <w:right w:type="dxa" w:w="90"/>
            </w:tcMar>
            <w:vAlign w:val="center"/>
          </w:tcPr>
          <w:p>
            <w:pPr>
              <w:spacing w:after="60"/>
            </w:pPr>
            <w:r>
              <w:rPr>
                <w:b/>
                <w:bCs/>
              </w:rPr>
              <w:t xml:space="preserve">Week</w:t>
            </w:r>
          </w:p>
        </w:tc>
        <w:tc>
          <w:tcPr>
            <w:tcW w:type="dxa" w:w="1080"/>
            <w:shd w:fill="FFFFFF" w:color="auto" w:val="clear"/>
            <w:tcMar>
              <w:top w:type="dxa" w:w="60"/>
              <w:left w:type="dxa" w:w="90"/>
              <w:bottom w:type="dxa" w:w="60"/>
              <w:right w:type="dxa" w:w="90"/>
            </w:tcMar>
            <w:vAlign w:val="center"/>
          </w:tcPr>
          <w:p>
            <w:pPr>
              <w:spacing w:after="60"/>
            </w:pPr>
            <w:r>
              <w:t xml:space="preserve">18</w:t>
            </w:r>
          </w:p>
        </w:tc>
        <w:tc>
          <w:tcPr>
            <w:tcW w:type="dxa" w:w="1593"/>
            <w:shd w:fill="F2CEED" w:color="auto" w:val="clear"/>
            <w:tcMar>
              <w:top w:type="dxa" w:w="60"/>
              <w:left w:type="dxa" w:w="90"/>
              <w:bottom w:type="dxa" w:w="60"/>
              <w:right w:type="dxa" w:w="90"/>
            </w:tcMar>
            <w:vAlign w:val="center"/>
          </w:tcPr>
          <w:p>
            <w:pPr>
              <w:spacing w:after="60"/>
            </w:pPr>
            <w:r>
              <w:rPr>
                <w:b/>
                <w:bCs/>
              </w:rPr>
              <w:t xml:space="preserve">Duration</w:t>
            </w:r>
          </w:p>
        </w:tc>
        <w:tc>
          <w:tcPr>
            <w:tcW w:type="dxa" w:w="1075"/>
            <w:shd w:fill="FFFFFF" w:color="auto" w:val="clear"/>
            <w:tcMar>
              <w:top w:type="dxa" w:w="60"/>
              <w:left w:type="dxa" w:w="90"/>
              <w:bottom w:type="dxa" w:w="60"/>
              <w:right w:type="dxa" w:w="90"/>
            </w:tcMar>
            <w:vAlign w:val="center"/>
          </w:tcPr>
          <w:p>
            <w:pPr>
              <w:spacing w:after="60"/>
            </w:pPr>
            <w:r>
              <w:t xml:space="preserve">1 hour</w:t>
            </w:r>
          </w:p>
        </w:tc>
        <w:tc>
          <w:tcPr>
            <w:tcW w:type="dxa" w:w="1093"/>
            <w:shd w:fill="F2CEED" w:color="auto" w:val="clear"/>
            <w:tcMar>
              <w:top w:type="dxa" w:w="60"/>
              <w:left w:type="dxa" w:w="90"/>
              <w:bottom w:type="dxa" w:w="60"/>
              <w:right w:type="dxa" w:w="90"/>
            </w:tcMar>
            <w:vAlign w:val="center"/>
          </w:tcPr>
          <w:p>
            <w:pPr>
              <w:spacing w:after="60"/>
            </w:pPr>
            <w:r>
              <w:rPr>
                <w:b/>
                <w:bCs/>
              </w:rPr>
              <w:t xml:space="preserve">Form</w:t>
            </w:r>
          </w:p>
        </w:tc>
        <w:tc>
          <w:tcPr>
            <w:tcW w:type="dxa" w:w="925"/>
            <w:shd w:fill="FFFFFF" w:color="auto" w:val="clear"/>
            <w:tcMar>
              <w:top w:type="dxa" w:w="60"/>
              <w:left w:type="dxa" w:w="90"/>
              <w:bottom w:type="dxa" w:w="60"/>
              <w:right w:type="dxa" w:w="90"/>
            </w:tcMar>
            <w:vAlign w:val="center"/>
          </w:tcPr>
          <w:p>
            <w:pPr>
              <w:spacing w:after="60"/>
            </w:pPr>
            <w:r>
              <w:t xml:space="preserve">Year Two</w:t>
            </w:r>
          </w:p>
        </w:tc>
      </w:tr>
      <w:tr>
        <w:tc>
          <w:tcPr>
            <w:tcW w:type="dxa" w:w="2660"/>
            <w:shd w:fill="F2CEED" w:color="auto" w:val="clear"/>
            <w:tcMar>
              <w:top w:type="dxa" w:w="60"/>
              <w:left w:type="dxa" w:w="90"/>
              <w:bottom w:type="dxa" w:w="60"/>
              <w:right w:type="dxa" w:w="90"/>
            </w:tcMar>
            <w:vAlign w:val="center"/>
          </w:tcPr>
          <w:p>
            <w:pPr>
              <w:spacing w:after="60"/>
            </w:pPr>
            <w:r>
              <w:rPr>
                <w:b/>
                <w:bCs/>
              </w:rPr>
              <w:t xml:space="preserve">Strand</w:t>
            </w:r>
          </w:p>
        </w:tc>
        <w:tc>
          <w:tcPr>
            <w:tcW w:type="dxa" w:w="10290"/>
            <w:gridSpan w:val="7"/>
            <w:shd w:fill="FFFFFF" w:color="auto" w:val="clear"/>
            <w:tcMar>
              <w:top w:type="dxa" w:w="60"/>
              <w:left w:type="dxa" w:w="90"/>
              <w:bottom w:type="dxa" w:w="60"/>
              <w:right w:type="dxa" w:w="90"/>
            </w:tcMar>
            <w:vAlign w:val="center"/>
          </w:tcPr>
          <w:p>
            <w:pPr>
              <w:spacing w:after="60"/>
            </w:pPr>
            <w:r>
              <w:t xml:space="preserve">Diversity of living things and their Environment</w:t>
            </w:r>
          </w:p>
        </w:tc>
      </w:tr>
      <w:tr>
        <w:tc>
          <w:tcPr>
            <w:tcW w:type="dxa" w:w="2660"/>
            <w:shd w:fill="F2CEED" w:color="auto" w:val="clear"/>
            <w:tcMar>
              <w:top w:type="dxa" w:w="60"/>
              <w:left w:type="dxa" w:w="90"/>
              <w:bottom w:type="dxa" w:w="60"/>
              <w:right w:type="dxa" w:w="90"/>
            </w:tcMar>
            <w:vAlign w:val="center"/>
          </w:tcPr>
          <w:p>
            <w:pPr>
              <w:spacing w:after="60"/>
            </w:pPr>
            <w:r>
              <w:rPr>
                <w:b/>
                <w:bCs/>
              </w:rPr>
              <w:t xml:space="preserve">Sub-Strand</w:t>
            </w:r>
          </w:p>
        </w:tc>
        <w:tc>
          <w:tcPr>
            <w:tcW w:type="dxa" w:w="10290"/>
            <w:gridSpan w:val="7"/>
            <w:shd w:fill="FFFFFF" w:color="auto" w:val="clear"/>
            <w:tcMar>
              <w:top w:type="dxa" w:w="60"/>
              <w:left w:type="dxa" w:w="90"/>
              <w:bottom w:type="dxa" w:w="60"/>
              <w:right w:type="dxa" w:w="90"/>
            </w:tcMar>
            <w:vAlign w:val="center"/>
          </w:tcPr>
          <w:p>
            <w:pPr>
              <w:spacing w:after="60"/>
            </w:pPr>
            <w:r>
              <w:t xml:space="preserve">Ecology</w:t>
            </w:r>
          </w:p>
        </w:tc>
      </w:tr>
      <w:tr>
        <w:tc>
          <w:tcPr>
            <w:tcW w:type="dxa" w:w="2660"/>
            <w:shd w:fill="F2CEED" w:color="auto" w:val="clear"/>
            <w:tcMar>
              <w:top w:type="dxa" w:w="60"/>
              <w:left w:type="dxa" w:w="90"/>
              <w:bottom w:type="dxa" w:w="60"/>
              <w:right w:type="dxa" w:w="90"/>
            </w:tcMar>
            <w:vAlign w:val="center"/>
          </w:tcPr>
          <w:p>
            <w:pPr>
              <w:spacing w:after="60"/>
            </w:pPr>
            <w:r>
              <w:rPr>
                <w:b/>
                <w:bCs/>
              </w:rPr>
              <w:t xml:space="preserve">Content Standard</w:t>
            </w:r>
          </w:p>
        </w:tc>
        <w:tc>
          <w:tcPr>
            <w:tcW w:type="dxa" w:w="10290"/>
            <w:gridSpan w:val="7"/>
            <w:shd w:fill="FFFFFF" w:color="auto" w:val="clear"/>
            <w:tcMar>
              <w:top w:type="dxa" w:w="60"/>
              <w:left w:type="dxa" w:w="90"/>
              <w:bottom w:type="dxa" w:w="60"/>
              <w:right w:type="dxa" w:w="90"/>
            </w:tcMar>
            <w:vAlign w:val="center"/>
          </w:tcPr>
          <w:p>
            <w:pPr>
              <w:spacing w:after="60"/>
            </w:pPr>
            <w:r>
              <w:t xml:space="preserve">Demonstrate knowledge and understanding of major tropical ecological habitats and how living things are adapted to these habitats</w:t>
            </w:r>
          </w:p>
        </w:tc>
      </w:tr>
      <w:tr>
        <w:tc>
          <w:tcPr>
            <w:tcW w:type="dxa" w:w="2660"/>
            <w:shd w:fill="F2CEED" w:color="auto" w:val="clear"/>
            <w:tcMar>
              <w:top w:type="dxa" w:w="60"/>
              <w:left w:type="dxa" w:w="90"/>
              <w:bottom w:type="dxa" w:w="60"/>
              <w:right w:type="dxa" w:w="90"/>
            </w:tcMar>
            <w:vAlign w:val="center"/>
          </w:tcPr>
          <w:p>
            <w:pPr>
              <w:spacing w:after="60"/>
            </w:pPr>
            <w:r>
              <w:rPr>
                <w:b/>
                <w:bCs/>
              </w:rPr>
              <w:t xml:space="preserve">Learning Outcome(s)</w:t>
            </w:r>
          </w:p>
        </w:tc>
        <w:tc>
          <w:tcPr>
            <w:tcW w:type="dxa" w:w="10290"/>
            <w:gridSpan w:val="7"/>
            <w:shd w:fill="FFFFFF" w:color="auto" w:val="clear"/>
            <w:tcMar>
              <w:top w:type="dxa" w:w="60"/>
              <w:left w:type="dxa" w:w="90"/>
              <w:bottom w:type="dxa" w:w="60"/>
              <w:right w:type="dxa" w:w="90"/>
            </w:tcMar>
            <w:vAlign w:val="center"/>
          </w:tcPr>
          <w:p>
            <w:pPr>
              <w:spacing w:after="60"/>
            </w:pPr>
            <w:r>
              <w:t xml:space="preserve">Explain the features of various tropical Communication and Collaboration: GESI: habitats and how living organisms are Learners are able to express themselves in speech, and team Respect individuals of different beliefs, adapted to these habitats. up with members to embark on ecological trips. religions, and cultures. Learners communicate and work together as a team, on field Embrace diversity and practise inclusion. trips. Be gender responsive and have the ability to tackle injustice. learners develop and Critical Thinking and Problem-Solving: Be aware of personal biases and improve their critical thinking skills which are required for stereotypes. explaining how various organisms adapt to their habitats. Be sensitive to the inter-relatedness of the various spheres of life, groups, and Learners become more innovative Creativity and Innovation: individuals. and self-initiating as they examine tropical organisms and their adaptive features in specific habitats which allow them to survive SEL: successfully. Learners appreciate real-life situations. Learn ways of coping with stressful the acquisition of digital literacy skills is Digital Literacy: experiences. promoted as learners do online research or watch videos on Learners practice managing their different tropical habitats and the adaptations of living organisms emotional reactions, thoughts and in them. behaviors. Learners seize the opportunity to explore how they learn from each other and their environment. National Core Values: Respect for each member of the group Integrity and honesty. Selflessness and perseverance. BIOLOGY</w:t>
            </w:r>
          </w:p>
        </w:tc>
      </w:tr>
      <w:tr>
        <w:tc>
          <w:tcPr>
            <w:tcW w:type="dxa" w:w="2660"/>
            <w:shd w:fill="F2CEED" w:color="auto" w:val="clear"/>
            <w:tcMar>
              <w:top w:type="dxa" w:w="60"/>
              <w:left w:type="dxa" w:w="90"/>
              <w:bottom w:type="dxa" w:w="60"/>
              <w:right w:type="dxa" w:w="90"/>
            </w:tcMar>
            <w:vAlign w:val="center"/>
          </w:tcPr>
          <w:p>
            <w:pPr>
              <w:spacing w:after="60"/>
            </w:pPr>
            <w:r>
              <w:rPr>
                <w:b/>
                <w:bCs/>
              </w:rPr>
              <w:t xml:space="preserve">Learning Indicator(s)</w:t>
            </w:r>
          </w:p>
        </w:tc>
        <w:tc>
          <w:tcPr>
            <w:tcW w:type="dxa" w:w="10290"/>
            <w:gridSpan w:val="7"/>
            <w:shd w:fill="FFFFFF" w:color="auto" w:val="clear"/>
            <w:tcMar>
              <w:top w:type="dxa" w:w="60"/>
              <w:left w:type="dxa" w:w="90"/>
              <w:bottom w:type="dxa" w:w="60"/>
              <w:right w:type="dxa" w:w="90"/>
            </w:tcMar>
            <w:vAlign w:val="center"/>
          </w:tcPr>
          <w:p>
            <w:pPr>
              <w:spacing w:after="60"/>
            </w:pPr>
            <w:r>
              <w:t xml:space="preserve">Describe the characteristic features of a tropical Rainforest, Savannah, Desert, Lagoon, Estuary, Seashore, River Pond and Lake</w:t>
            </w:r>
          </w:p>
        </w:tc>
      </w:tr>
      <w:tr>
        <w:tc>
          <w:tcPr>
            <w:tcW w:type="dxa" w:w="2660"/>
            <w:shd w:fill="E59EDC" w:color="auto" w:val="clear"/>
            <w:tcMar>
              <w:top w:type="dxa" w:w="60"/>
              <w:left w:type="dxa" w:w="90"/>
              <w:bottom w:type="dxa" w:w="60"/>
              <w:right w:type="dxa" w:w="90"/>
            </w:tcMar>
            <w:vAlign w:val="center"/>
          </w:tcPr>
          <w:p>
            <w:pPr>
              <w:spacing w:after="60"/>
            </w:pPr>
            <w:r>
              <w:rPr>
                <w:b/>
                <w:bCs/>
              </w:rPr>
              <w:t xml:space="preserve">Essential Question(s)</w:t>
            </w:r>
          </w:p>
        </w:tc>
        <w:tc>
          <w:tcPr>
            <w:tcW w:type="dxa" w:w="10290"/>
            <w:gridSpan w:val="7"/>
            <w:shd w:fill="FFFFFF" w:color="auto" w:val="clear"/>
            <w:tcMar>
              <w:top w:type="dxa" w:w="60"/>
              <w:left w:type="dxa" w:w="90"/>
              <w:bottom w:type="dxa" w:w="60"/>
              <w:right w:type="dxa" w:w="90"/>
            </w:tcMar>
            <w:vAlign w:val="center"/>
          </w:tcPr>
          <w:p>
            <w:pPr>
              <w:spacing w:after="60"/>
            </w:pPr>
            <w:r>
              <w:t xml:space="preserve">How do the physical conditions of a habitat shape the adaptations of the organisms living there?</w:t>
            </w:r>
          </w:p>
          <w:p>
            <w:pPr>
              <w:spacing w:after="60"/>
            </w:pPr>
            <w:r>
              <w:t xml:space="preserve">Why do organisms in the supralittoral, littoral and sublittoral zones of the seashore need different adaptations from each other?</w:t>
            </w:r>
          </w:p>
          <w:p>
            <w:pPr>
              <w:spacing w:after="60"/>
            </w:pPr>
            <w:r>
              <w:t xml:space="preserve">What features let organisms survive in rivers, lakes and ponds despite very different conditions from the seashore?</w:t>
            </w:r>
          </w:p>
        </w:tc>
      </w:tr>
      <w:tr>
        <w:tc>
          <w:tcPr>
            <w:tcW w:type="dxa" w:w="2660"/>
            <w:shd w:fill="F2CEED" w:color="auto" w:val="clear"/>
            <w:tcMar>
              <w:top w:type="dxa" w:w="60"/>
              <w:left w:type="dxa" w:w="90"/>
              <w:bottom w:type="dxa" w:w="60"/>
              <w:right w:type="dxa" w:w="90"/>
            </w:tcMar>
            <w:vAlign w:val="center"/>
          </w:tcPr>
          <w:p>
            <w:pPr>
              <w:spacing w:after="60"/>
            </w:pPr>
            <w:r>
              <w:rPr>
                <w:b/>
                <w:bCs/>
              </w:rPr>
              <w:t xml:space="preserve">Pedagogical Strategies</w:t>
            </w:r>
          </w:p>
        </w:tc>
        <w:tc>
          <w:tcPr>
            <w:tcW w:type="dxa" w:w="10290"/>
            <w:gridSpan w:val="7"/>
            <w:shd w:fill="FFFFFF" w:color="auto" w:val="clear"/>
            <w:tcMar>
              <w:top w:type="dxa" w:w="60"/>
              <w:left w:type="dxa" w:w="90"/>
              <w:bottom w:type="dxa" w:w="60"/>
              <w:right w:type="dxa" w:w="90"/>
            </w:tcMar>
            <w:vAlign w:val="center"/>
          </w:tcPr>
          <w:p>
            <w:pPr>
              <w:spacing w:after="60"/>
            </w:pPr>
            <w:r>
              <w:t xml:space="preserve">Experiential Learning: learners examine images/videos of Ghanaian seashores (Krokobite, rocky shores) and freshwater bodies (Black Volta, Lake Bosomtwe, local ponds/rivers) since a physical field trip is not possible this week; where a nearby river or pond exists, the teacher organises a short guided observation walk.</w:t>
            </w:r>
          </w:p>
          <w:p>
            <w:pPr>
              <w:spacing w:after="60"/>
            </w:pPr>
            <w:r>
              <w:t xml:space="preserve">Initiating and Structuring Talk for Learning: teacher poses one probing question at a time about zone features and adaptations, gives wait time, and requires learners to build on or respectfully challenge a classmate's answer before adding their own.</w:t>
            </w:r>
          </w:p>
          <w:p>
            <w:pPr>
              <w:spacing w:after="60"/>
            </w:pPr>
            <w:r>
              <w:t xml:space="preserve">Collaborative Learning: learners work in fixed groups of 5–6 to produce posters/cardboard summaries on assigned zones or water bodies, each member holding a specific role (researcher, artist, presenter, recorder, timekeeper), then present for whole-class critique and feedback.</w:t>
            </w:r>
          </w:p>
          <w:p>
            <w:pPr>
              <w:spacing w:after="60"/>
            </w:pPr>
            <w:r>
              <w:t xml:space="preserve">Building on What Others Say: during poster critique, learners are required to reference and extend a previous group's point before offering their own, rather than restarting the discussion.</w:t>
            </w:r>
          </w:p>
        </w:tc>
      </w:tr>
      <w:tr>
        <w:tc>
          <w:tcPr>
            <w:tcW w:type="dxa" w:w="2660"/>
            <w:shd w:fill="F2CEED" w:color="auto" w:val="clear"/>
            <w:tcMar>
              <w:top w:type="dxa" w:w="60"/>
              <w:left w:type="dxa" w:w="90"/>
              <w:bottom w:type="dxa" w:w="60"/>
              <w:right w:type="dxa" w:w="90"/>
            </w:tcMar>
            <w:vAlign w:val="center"/>
          </w:tcPr>
          <w:p>
            <w:pPr>
              <w:spacing w:after="60"/>
            </w:pPr>
            <w:r>
              <w:rPr>
                <w:b/>
                <w:bCs/>
              </w:rPr>
              <w:t xml:space="preserve">Teaching &amp; Learning Resources</w:t>
            </w:r>
          </w:p>
        </w:tc>
        <w:tc>
          <w:tcPr>
            <w:tcW w:type="dxa" w:w="10290"/>
            <w:gridSpan w:val="7"/>
            <w:shd w:fill="FFFFFF" w:color="auto" w:val="clear"/>
            <w:tcMar>
              <w:top w:type="dxa" w:w="60"/>
              <w:left w:type="dxa" w:w="90"/>
              <w:bottom w:type="dxa" w:w="60"/>
              <w:right w:type="dxa" w:w="90"/>
            </w:tcMar>
            <w:vAlign w:val="center"/>
          </w:tcPr>
          <w:p>
            <w:pPr>
              <w:spacing w:after="60"/>
            </w:pPr>
            <w:r>
              <w:rPr>
                <w:b/>
                <w:bCs/>
              </w:rPr>
              <w:t xml:space="preserve">Physical:</w:t>
            </w:r>
          </w:p>
          <w:p>
            <w:pPr>
              <w:spacing w:after="60"/>
            </w:pPr>
            <w:r>
              <w:t xml:space="preserve">Charts</w:t>
            </w:r>
          </w:p>
          <w:p>
            <w:pPr>
              <w:spacing w:after="60"/>
            </w:pPr>
            <w:r>
              <w:t xml:space="preserve">Science laboratory</w:t>
            </w:r>
          </w:p>
          <w:p>
            <w:pPr>
              <w:spacing w:after="60"/>
            </w:pPr>
            <w:r>
              <w:rPr>
                <w:b/>
                <w:bCs/>
              </w:rPr>
              <w:t xml:space="preserve">Soft Copy:</w:t>
            </w:r>
          </w:p>
          <w:p>
            <w:pPr>
              <w:spacing w:after="60"/>
            </w:pPr>
            <w:r>
              <w:t xml:space="preserve">Teacher Manual</w:t>
            </w:r>
          </w:p>
          <w:p>
            <w:pPr>
              <w:spacing w:after="60"/>
            </w:pPr>
            <w:r>
              <w:t xml:space="preserve">Learner Material</w:t>
            </w:r>
          </w:p>
        </w:tc>
      </w:tr>
      <w:tr>
        <w:tc>
          <w:tcPr>
            <w:tcW w:type="dxa" w:w="12950"/>
            <w:gridSpan w:val="8"/>
            <w:shd w:fill="F2CEED" w:color="auto" w:val="clear"/>
            <w:tcMar>
              <w:top w:type="dxa" w:w="60"/>
              <w:left w:type="dxa" w:w="90"/>
              <w:bottom w:type="dxa" w:w="60"/>
              <w:right w:type="dxa" w:w="90"/>
            </w:tcMar>
            <w:vAlign w:val="center"/>
          </w:tcPr>
          <w:p>
            <w:pPr>
              <w:spacing w:after="60"/>
            </w:pPr>
            <w:r>
              <w:rPr>
                <w:b/>
                <w:bCs/>
              </w:rPr>
              <w:t xml:space="preserve">Key Notes on Differentiation</w:t>
            </w:r>
          </w:p>
        </w:tc>
      </w:tr>
      <w:tr>
        <w:tc>
          <w:tcPr>
            <w:tcW w:type="dxa" w:w="12950"/>
            <w:gridSpan w:val="8"/>
            <w:shd w:fill="FFFFFF" w:color="auto" w:val="clear"/>
            <w:tcMar>
              <w:top w:type="dxa" w:w="60"/>
              <w:left w:type="dxa" w:w="90"/>
              <w:bottom w:type="dxa" w:w="60"/>
              <w:right w:type="dxa" w:w="90"/>
            </w:tcMar>
            <w:vAlign w:val="center"/>
          </w:tcPr>
          <w:p>
            <w:pPr>
              <w:spacing w:after="60"/>
            </w:pPr>
            <w:r>
              <w:rPr>
                <w:b/>
                <w:bCs/>
              </w:rPr>
              <w:t xml:space="preserve">Special Note: This week builds directly towards the Mid-Semester Examination. The Lesson 3 written analysis doubles as revision practice in examination format (timed, individually written, DoK-graded) so learners rehearse examination conditions while the content is still fresh.</w:t>
            </w:r>
          </w:p>
          <w:p>
            <w:pPr>
              <w:spacing w:after="60"/>
            </w:pPr>
            <w:r>
              <w:rPr>
                <w:b/>
                <w:bCs/>
              </w:rPr>
              <w:t xml:space="preserve">Tier 1 (below-level): </w:t>
            </w:r>
            <w:r>
              <w:t xml:space="preserve">Provide a partially-completed zone/habitat table (zone names and one organism already filled in) so struggling learners only need to add adaptations, reducing the writing load.</w:t>
            </w:r>
          </w:p>
          <w:p>
            <w:pPr>
              <w:spacing w:after="60"/>
            </w:pPr>
            <w:r>
              <w:rPr>
                <w:b/>
                <w:bCs/>
              </w:rPr>
              <w:t xml:space="preserve">Tier 1 (below-level): </w:t>
            </w:r>
            <w:r>
              <w:t xml:space="preserve">Pair each struggling learner with a stronger peer during poster preparation so they contribute one clearly assigned part (e.g. drawing or labelling) rather than the whole task.</w:t>
            </w:r>
          </w:p>
          <w:p>
            <w:pPr>
              <w:spacing w:after="60"/>
            </w:pPr>
            <w:r>
              <w:rPr>
                <w:b/>
                <w:bCs/>
              </w:rPr>
              <w:t xml:space="preserve">Tier 1 (below-level): </w:t>
            </w:r>
            <w:r>
              <w:t xml:space="preserve">During questioning, direct simpler recall questions to these learners first so they can answer confidently before harder questions are asked of others.</w:t>
            </w:r>
          </w:p>
          <w:p>
            <w:pPr>
              <w:spacing w:after="60"/>
            </w:pPr>
            <w:r>
              <w:rPr>
                <w:b/>
                <w:bCs/>
              </w:rPr>
              <w:t xml:space="preserve">Tier 1 (below-level): </w:t>
            </w:r>
            <w:r>
              <w:t xml:space="preserve">Allow extra time (up to 5 minutes) to complete the Lesson 3 written analysis, and permit them to refer to their notebook for zone names only.</w:t>
            </w:r>
          </w:p>
          <w:p>
            <w:pPr>
              <w:spacing w:after="60"/>
            </w:pPr>
            <w:r>
              <w:rPr>
                <w:b/>
                <w:bCs/>
              </w:rPr>
              <w:t xml:space="preserve">Tier 2 (on-level): </w:t>
            </w:r>
            <w:r>
              <w:t xml:space="preserve">Complete the standard group tasks (poster, story, map) as set out in Activities 3.18–3.22 within the given time.</w:t>
            </w:r>
          </w:p>
          <w:p>
            <w:pPr>
              <w:spacing w:after="60"/>
            </w:pPr>
            <w:r>
              <w:rPr>
                <w:b/>
                <w:bCs/>
              </w:rPr>
              <w:t xml:space="preserve">Tier 2 (on-level): </w:t>
            </w:r>
            <w:r>
              <w:t xml:space="preserve">Answer mixed DoK questions during whole-class questioning and peer critique using the shared checklist unaided.</w:t>
            </w:r>
          </w:p>
          <w:p>
            <w:pPr>
              <w:spacing w:after="60"/>
            </w:pPr>
            <w:r>
              <w:rPr>
                <w:b/>
                <w:bCs/>
              </w:rPr>
              <w:t xml:space="preserve">Tier 3 (extension): </w:t>
            </w:r>
            <w:r>
              <w:t xml:space="preserve">After finishing the set task early, research and add one additional organism not mentioned in the book to their poster, explaining its adaptation to the class.</w:t>
            </w:r>
          </w:p>
          <w:p>
            <w:pPr>
              <w:spacing w:after="60"/>
            </w:pPr>
            <w:r>
              <w:rPr>
                <w:b/>
                <w:bCs/>
              </w:rPr>
              <w:t xml:space="preserve">Tier 3 (extension): </w:t>
            </w:r>
            <w:r>
              <w:t xml:space="preserve">Challenge them to identify one adaptation that would fail if an organism from one zone/habitat were moved to a different zone (e.g. a sublittoral fish moved to the supralittoral zone), and justify why, for the class discussion.</w:t>
            </w:r>
          </w:p>
        </w:tc>
      </w:tr>
      <w:tr>
        <w:tc>
          <w:tcPr>
            <w:tcW w:type="dxa" w:w="12950"/>
            <w:gridSpan w:val="8"/>
            <w:shd w:fill="F2CEED" w:color="auto" w:val="clear"/>
            <w:tcMar>
              <w:top w:type="dxa" w:w="60"/>
              <w:left w:type="dxa" w:w="90"/>
              <w:bottom w:type="dxa" w:w="60"/>
              <w:right w:type="dxa" w:w="90"/>
            </w:tcMar>
            <w:vAlign w:val="center"/>
          </w:tcPr>
          <w:p>
            <w:pPr>
              <w:spacing w:after="60"/>
            </w:pPr>
            <w:r>
              <w:rPr>
                <w:b/>
                <w:bCs/>
              </w:rPr>
              <w:t xml:space="preserve">Lesson 1</w:t>
            </w:r>
          </w:p>
        </w:tc>
      </w:tr>
      <w:tr>
        <w:tc>
          <w:tcPr>
            <w:tcW w:type="dxa" w:w="12950"/>
            <w:gridSpan w:val="8"/>
            <w:shd w:fill="FFFFFF" w:color="auto" w:val="clear"/>
            <w:tcMar>
              <w:top w:type="dxa" w:w="60"/>
              <w:left w:type="dxa" w:w="90"/>
              <w:bottom w:type="dxa" w:w="60"/>
              <w:right w:type="dxa" w:w="90"/>
            </w:tcMar>
            <w:vAlign w:val="center"/>
          </w:tcPr>
          <w:p>
            <w:pPr>
              <w:spacing w:after="60"/>
            </w:pPr>
            <w:r>
              <w:rPr>
                <w:b/>
                <w:bCs/>
              </w:rPr>
              <w:t xml:space="preserve">Lesson 1: Zones Of The Seashore And Their Organisms</w:t>
            </w:r>
          </w:p>
          <w:p>
            <w:pPr>
              <w:spacing w:after="60"/>
            </w:pPr>
            <w:r>
              <w:t xml:space="preserve">1 hour | 9 groups of 5 learners | Experiential + Talk for Learning approach</w:t>
            </w:r>
          </w:p>
          <w:p>
            <w:pPr>
              <w:spacing w:after="60"/>
            </w:pPr>
            <w:r>
              <w:rPr>
                <w:b/>
                <w:bCs/>
              </w:rPr>
              <w:t xml:space="preserve">Introduction (10 minutes) — Objective: Hook learners into the seashore topic and recall prior knowledge of habitats and adaptation.</w:t>
            </w:r>
          </w:p>
          <w:p>
            <w:pPr>
              <w:spacing w:after="60"/>
            </w:pPr>
            <w:r>
              <w:t xml:space="preserve">Quick recall (3 min): Teacher asks, 'What tropical habitats have we studied so far this term, and what does adaptation mean?' Learners raise hands; teacher builds on answers.</w:t>
            </w:r>
          </w:p>
          <w:p>
            <w:pPr>
              <w:spacing w:after="60"/>
            </w:pPr>
            <w:r>
              <w:t xml:space="preserve">Picture hook (5 min): Teacher displays/passes round Figures 3.40 and 3.41 (rocky seashore, Krokobite sandy beach) or describes them vividly if no images available. Learners in pairs guess: 'What is different about the top of this shore compared to the water's edge?'</w:t>
            </w:r>
          </w:p>
          <w:p>
            <w:pPr>
              <w:spacing w:after="60"/>
            </w:pPr>
            <w:r>
              <w:t xml:space="preserve">Link and purpose (2 min): Teacher states today's focus — the three zones of the seashore and who lives in each.</w:t>
            </w:r>
          </w:p>
          <w:p>
            <w:pPr>
              <w:spacing w:after="60"/>
            </w:pPr>
            <w:r>
              <w:rPr>
                <w:b/>
                <w:bCs/>
              </w:rPr>
              <w:t xml:space="preserve">Main Lesson (40 minutes) — Objective: Learners describe the three seashore zones and identify organisms and challenges in each.</w:t>
            </w:r>
          </w:p>
          <w:p>
            <w:pPr>
              <w:spacing w:after="60"/>
            </w:pPr>
            <w:r>
              <w:t xml:space="preserve">Phase A – Reading and mapping the zones (10 min): In groups of 5–6, learners read the Supralittoral, Littoral and Sublittoral descriptions (Learner's Book pp.95) and draw a simple labelled cross-section of the seashore on manila card, marking high tide and low tide lines.</w:t>
            </w:r>
          </w:p>
          <w:p>
            <w:pPr>
              <w:spacing w:after="60"/>
            </w:pPr>
            <w:r>
              <w:t xml:space="preserve">Phase B – Zone allocation research (15 min): Groups 1–2 focus on the Supralittoral zone, Groups 3–4 on the Littoral zone, Groups 5–6 on the Sublittoral zone. Each group lists the organisms named in the book for their zone and identifies, in their own words, the main environmental challenge of that zone (drying out, tidal change, stable but low light).</w:t>
            </w:r>
          </w:p>
          <w:p>
            <w:pPr>
              <w:spacing w:after="60"/>
            </w:pPr>
            <w:r>
              <w:t xml:space="preserve">Phase C – Gallery walk and questioning (15 min): Each group displays its card. Teacher circulates asking one targeted question per group at a time (e.g. 'Why would a periwinkle need to withstand desiccation?'), waiting for a response before building the next question. Other groups listen and add one comment each, building on what the presenting group said.</w:t>
            </w:r>
          </w:p>
          <w:p>
            <w:pPr>
              <w:spacing w:after="60"/>
            </w:pPr>
            <w:r>
              <w:rPr>
                <w:b/>
                <w:bCs/>
              </w:rPr>
              <w:t xml:space="preserve">Closure (10 minutes) — Objective: Consolidate the three zones and check understanding before moving to adaptations.</w:t>
            </w:r>
          </w:p>
          <w:p>
            <w:pPr>
              <w:spacing w:after="60"/>
            </w:pPr>
            <w:r>
              <w:t xml:space="preserve">Whole-class recap (6 min): Teacher draws a quick three-row table on the board (Zone | Position | Example organism) and fills it in with learner input called out from each group.</w:t>
            </w:r>
          </w:p>
          <w:p>
            <w:pPr>
              <w:spacing w:after="60"/>
            </w:pPr>
            <w:r>
              <w:t xml:space="preserve">Exit ticket (2 min): Learners write on paper: 'Name the three seashore zones in order, and one organism from each.'</w:t>
            </w:r>
          </w:p>
          <w:p>
            <w:pPr>
              <w:spacing w:after="60"/>
            </w:pPr>
            <w:r>
              <w:t xml:space="preserve">Preview (2 min): Teacher tells learners that next lesson they will look closely at how these organisms' bodies are built to survive in their zone.</w:t>
            </w:r>
          </w:p>
        </w:tc>
      </w:tr>
      <w:tr>
        <w:tc>
          <w:tcPr>
            <w:tcW w:type="dxa" w:w="12950"/>
            <w:gridSpan w:val="8"/>
            <w:shd w:fill="F2CEED" w:color="auto" w:val="clear"/>
            <w:tcMar>
              <w:top w:type="dxa" w:w="60"/>
              <w:left w:type="dxa" w:w="90"/>
              <w:bottom w:type="dxa" w:w="60"/>
              <w:right w:type="dxa" w:w="90"/>
            </w:tcMar>
            <w:vAlign w:val="center"/>
          </w:tcPr>
          <w:p>
            <w:pPr>
              <w:spacing w:after="60"/>
            </w:pPr>
            <w:r>
              <w:rPr>
                <w:b/>
                <w:bCs/>
              </w:rPr>
              <w:t xml:space="preserve">Lesson 2</w:t>
            </w:r>
          </w:p>
        </w:tc>
      </w:tr>
      <w:tr>
        <w:tc>
          <w:tcPr>
            <w:tcW w:type="dxa" w:w="12950"/>
            <w:gridSpan w:val="8"/>
            <w:shd w:fill="FFFFFF" w:color="auto" w:val="clear"/>
            <w:tcMar>
              <w:top w:type="dxa" w:w="60"/>
              <w:left w:type="dxa" w:w="90"/>
              <w:bottom w:type="dxa" w:w="60"/>
              <w:right w:type="dxa" w:w="90"/>
            </w:tcMar>
            <w:vAlign w:val="center"/>
          </w:tcPr>
          <w:p>
            <w:pPr>
              <w:spacing w:after="60"/>
            </w:pPr>
            <w:r>
              <w:rPr>
                <w:b/>
                <w:bCs/>
              </w:rPr>
              <w:t xml:space="preserve">Lesson 2: Adaptations Of Seashore Animals And Plants</w:t>
            </w:r>
          </w:p>
          <w:p>
            <w:pPr>
              <w:spacing w:after="60"/>
            </w:pPr>
            <w:r>
              <w:t xml:space="preserve">1 hour | 9 groups of 5 learners | Collaborative + Problem-Based approach</w:t>
            </w:r>
          </w:p>
          <w:p>
            <w:pPr>
              <w:spacing w:after="60"/>
            </w:pPr>
            <w:r>
              <w:rPr>
                <w:b/>
                <w:bCs/>
              </w:rPr>
              <w:t xml:space="preserve">Introduction (10 minutes) — Objective: Reconnect to zones learned and set up the problem of survival.</w:t>
            </w:r>
          </w:p>
          <w:p>
            <w:pPr>
              <w:spacing w:after="60"/>
            </w:pPr>
            <w:r>
              <w:t xml:space="preserve">Recall check (4 min): Teacher calls out a zone name; learners in their seats shout back one organism from that zone (whole-class rapid recall, using yesterday's exit tickets as reference).</w:t>
            </w:r>
          </w:p>
          <w:p>
            <w:pPr>
              <w:spacing w:after="60"/>
            </w:pPr>
            <w:r>
              <w:t xml:space="preserve">Problem hook (4 min): Teacher poses, 'A crab living between the tides faces waves, drying sun, and hungry birds. How do you think its body helps it survive all three?' Learners briefly discuss with a shoulder partner.</w:t>
            </w:r>
          </w:p>
          <w:p>
            <w:pPr>
              <w:spacing w:after="60"/>
            </w:pPr>
            <w:r>
              <w:t xml:space="preserve">Link (2 min): Teacher states today's focus — specific adaptations of seashore animals and plants.</w:t>
            </w:r>
          </w:p>
          <w:p>
            <w:pPr>
              <w:spacing w:after="60"/>
            </w:pPr>
            <w:r>
              <w:rPr>
                <w:b/>
                <w:bCs/>
              </w:rPr>
              <w:t xml:space="preserve">Main Lesson (40 minutes) — Objective: Learners describe and justify specific structural, behavioural and physiological adaptations of seashore organisms.</w:t>
            </w:r>
          </w:p>
          <w:p>
            <w:pPr>
              <w:spacing w:after="60"/>
            </w:pPr>
            <w:r>
              <w:t xml:space="preserve">Phase A – Adaptation stations (12 min): Groups rotate (or stay seated with resources brought to them) through short readings on protective shells/exoskeletons, anchoring mechanisms (byssal threads, tube feet), flattened bodies, burrowing behaviour, and movement strategies (Learner's Book pp.96). Each group records, on their card from Lesson 1, which adaptation matches which organism.</w:t>
            </w:r>
          </w:p>
          <w:p>
            <w:pPr>
              <w:spacing w:after="60"/>
            </w:pPr>
            <w:r>
              <w:t xml:space="preserve">Phase B – Activity 3.18 &amp; 3.19 creative tasks (16 min): Each group chooses ONE creative task to complete together: (a) draw and label a barnacle's anchoring adaptation, (b) write a short 'day in the life of a crab' story showing feeding and predator avoidance, (c) design an imaginative protective shell and list its safety features, or (d) write a mussel's storm diary entry. Teacher circulates, prompting groups to link every feature back to a named survival challenge.</w:t>
            </w:r>
          </w:p>
          <w:p>
            <w:pPr>
              <w:spacing w:after="60"/>
            </w:pPr>
            <w:r>
              <w:t xml:space="preserve">Phase C – Plant adaptations discussion (12 min): In the same groups, learners read the seashore plant adaptations section (p.97) and discuss Activity 3.20 question 2 in small groups: why salt tolerance and drought resistance matter at the seashore. Each group agrees on two reasons to report back.</w:t>
            </w:r>
          </w:p>
          <w:p>
            <w:pPr>
              <w:spacing w:after="60"/>
            </w:pPr>
            <w:r>
              <w:rPr>
                <w:b/>
                <w:bCs/>
              </w:rPr>
              <w:t xml:space="preserve">Closure (10 minutes) — Objective: Share and consolidate the range of adaptations covered.</w:t>
            </w:r>
          </w:p>
          <w:p>
            <w:pPr>
              <w:spacing w:after="60"/>
            </w:pPr>
            <w:r>
              <w:t xml:space="preserve">Rapid share-out (6 min): Two groups volunteer to read/show their creative task; teacher highlights the adaptation-to-challenge link each time.</w:t>
            </w:r>
          </w:p>
          <w:p>
            <w:pPr>
              <w:spacing w:after="60"/>
            </w:pPr>
            <w:r>
              <w:t xml:space="preserve">Exit ticket (2 min): Learners write: 'Name one seashore animal adaptation and the challenge it solves, and one seashore plant adaptation and the challenge it solves.'</w:t>
            </w:r>
          </w:p>
          <w:p>
            <w:pPr>
              <w:spacing w:after="60"/>
            </w:pPr>
            <w:r>
              <w:t xml:space="preserve">Preview (2 min): Teacher announces that tomorrow the class moves inland — to rivers, ponds and lakes — to compare adaptations.</w:t>
            </w:r>
          </w:p>
        </w:tc>
      </w:tr>
      <w:tr>
        <w:tc>
          <w:tcPr>
            <w:tcW w:type="dxa" w:w="12950"/>
            <w:gridSpan w:val="8"/>
            <w:shd w:fill="F2CEED" w:color="auto" w:val="clear"/>
            <w:tcMar>
              <w:top w:type="dxa" w:w="60"/>
              <w:left w:type="dxa" w:w="90"/>
              <w:bottom w:type="dxa" w:w="60"/>
              <w:right w:type="dxa" w:w="90"/>
            </w:tcMar>
            <w:vAlign w:val="center"/>
          </w:tcPr>
          <w:p>
            <w:pPr>
              <w:spacing w:after="60"/>
            </w:pPr>
            <w:r>
              <w:rPr>
                <w:b/>
                <w:bCs/>
              </w:rPr>
              <w:t xml:space="preserve">Lesson 3</w:t>
            </w:r>
          </w:p>
        </w:tc>
      </w:tr>
      <w:tr>
        <w:tc>
          <w:tcPr>
            <w:tcW w:type="dxa" w:w="12950"/>
            <w:gridSpan w:val="8"/>
            <w:shd w:fill="FFFFFF" w:color="auto" w:val="clear"/>
            <w:tcMar>
              <w:top w:type="dxa" w:w="60"/>
              <w:left w:type="dxa" w:w="90"/>
              <w:bottom w:type="dxa" w:w="60"/>
              <w:right w:type="dxa" w:w="90"/>
            </w:tcMar>
            <w:vAlign w:val="center"/>
          </w:tcPr>
          <w:p>
            <w:pPr>
              <w:spacing w:after="60"/>
            </w:pPr>
            <w:r>
              <w:rPr>
                <w:b/>
                <w:bCs/>
              </w:rPr>
              <w:t xml:space="preserve">Lesson 3: Rivers, Ponds And Lakes: Features And Adaptations Compared</w:t>
            </w:r>
          </w:p>
          <w:p>
            <w:pPr>
              <w:spacing w:after="60"/>
            </w:pPr>
            <w:r>
              <w:t xml:space="preserve">1 hour | 9 groups of 5 learners | Collaborative + Research and presentation-based approach</w:t>
            </w:r>
          </w:p>
          <w:p>
            <w:pPr>
              <w:spacing w:after="60"/>
            </w:pPr>
            <w:r>
              <w:rPr>
                <w:b/>
                <w:bCs/>
              </w:rPr>
              <w:t xml:space="preserve">Introduction (10 minutes) — Objective: Bridge from seashore to freshwater habitats and activate curiosity about difference in conditions.</w:t>
            </w:r>
          </w:p>
          <w:p>
            <w:pPr>
              <w:spacing w:after="60"/>
            </w:pPr>
            <w:r>
              <w:t xml:space="preserve">Recall bridge (4 min): Teacher asks, 'The seashore has salt water and tides. What do you think a river, pond or lake in Ghana is like instead?' Learners suggest ideas (calmer water, fresh water, less salty).</w:t>
            </w:r>
          </w:p>
          <w:p>
            <w:pPr>
              <w:spacing w:after="60"/>
            </w:pPr>
            <w:r>
              <w:t xml:space="preserve">Local hook (4 min): Teacher shows Figure 3.44 (Black Volta) and Figure 3.46 (pond with water lily) or describes a local river/pond/lake learners know (e.g. Lake Bosomtwe, a village pond used for washing). Learners name any organisms they have personally seen there.</w:t>
            </w:r>
          </w:p>
          <w:p>
            <w:pPr>
              <w:spacing w:after="60"/>
            </w:pPr>
            <w:r>
              <w:t xml:space="preserve">Link (2 min): Teacher states today's focus — features of rivers, lakes and ponds, and how their organisms are adapted, ready for the group presentations.</w:t>
            </w:r>
          </w:p>
          <w:p>
            <w:pPr>
              <w:spacing w:after="60"/>
            </w:pPr>
            <w:r>
              <w:rPr>
                <w:b/>
                <w:bCs/>
              </w:rPr>
              <w:t xml:space="preserve">Main Lesson (40 minutes) — Objective: Learners describe features of rivers, lakes and ponds and compare organism adaptations across these three freshwater habitats and the seashore.</w:t>
            </w:r>
          </w:p>
          <w:p>
            <w:pPr>
              <w:spacing w:after="60"/>
            </w:pPr>
            <w:r>
              <w:t xml:space="preserve">Phase A – Habitat allocation and research (15 min): Groups 1–2 research Rivers, Groups 3–4 research Lakes, Groups 5–6 research Ponds, using Learner's Book pp.98–101. Each group notes: definition/description of their water body, three organisms found there, and three adaptations with the challenge each one solves (e.g. swim bladders for buoyancy, webbed feet for swimming, breathing tubes for air access).</w:t>
            </w:r>
          </w:p>
          <w:p>
            <w:pPr>
              <w:spacing w:after="60"/>
            </w:pPr>
            <w:r>
              <w:t xml:space="preserve">Phase B – Poster/cardboard preparation (10 min): Groups complete Activity 3.21/3.22-style posters summarising their habitat's features and adaptations, ready for class presentation.</w:t>
            </w:r>
          </w:p>
          <w:p>
            <w:pPr>
              <w:spacing w:after="60"/>
            </w:pPr>
            <w:r>
              <w:t xml:space="preserve">Phase C – Presentations and cross-habitat critique (15 min): Each group presents for 2 minutes; the class uses a shared checklist (habitat described, organisms named, adaptation-challenge link clear) to give one piece of written peer feedback per group. Teacher prompts at least one comparison question after each presentation, e.g. 'How is a lake fish's swim bladder similar to or different from a seashore fish adaptation we saw?'</w:t>
            </w:r>
          </w:p>
          <w:p>
            <w:pPr>
              <w:spacing w:after="60"/>
            </w:pPr>
            <w:r>
              <w:rPr>
                <w:b/>
                <w:bCs/>
              </w:rPr>
              <w:t xml:space="preserve">Closure (10 minutes) — Objective: Consolidate the week's learning across seashore, river, lake and pond, and complete the assessed written analysis.</w:t>
            </w:r>
          </w:p>
          <w:p>
            <w:pPr>
              <w:spacing w:after="60"/>
            </w:pPr>
            <w:r>
              <w:t xml:space="preserve">Whole-class summary (3 min): Teacher leads learners to state, in one sentence each, what feature of their habitat most determines its organisms' adaptations.</w:t>
            </w:r>
          </w:p>
          <w:p>
            <w:pPr>
              <w:spacing w:after="60"/>
            </w:pPr>
            <w:r>
              <w:t xml:space="preserve">Written analysis (transcript assessment, 5 min of the 10, remainder folded into the 15-minute assessment window noted in the assessment section): Learners complete the five-question individual written test covering DoK 1–4 on seashore, river, lake and pond adaptations.</w:t>
            </w:r>
          </w:p>
          <w:p>
            <w:pPr>
              <w:spacing w:after="60"/>
            </w:pPr>
            <w:r>
              <w:t xml:space="preserve">Exit ticket (2 min): Learners write: 'Give one adaptation you found most surprising this week, and which habitat it belongs to.'</w:t>
            </w:r>
          </w:p>
        </w:tc>
      </w:tr>
      <w:tr>
        <w:tc>
          <w:tcPr>
            <w:tcW w:type="dxa" w:w="12950"/>
            <w:gridSpan w:val="8"/>
            <w:shd w:fill="F2CEED" w:color="auto" w:val="clear"/>
            <w:tcMar>
              <w:top w:type="dxa" w:w="60"/>
              <w:left w:type="dxa" w:w="90"/>
              <w:bottom w:type="dxa" w:w="60"/>
              <w:right w:type="dxa" w:w="90"/>
            </w:tcMar>
            <w:vAlign w:val="center"/>
          </w:tcPr>
          <w:p>
            <w:pPr>
              <w:spacing w:after="60"/>
            </w:pPr>
            <w:r>
              <w:rPr>
                <w:b/>
                <w:bCs/>
              </w:rPr>
              <w:t xml:space="preserve">Key Assessment</w:t>
            </w:r>
          </w:p>
        </w:tc>
      </w:tr>
      <w:tr>
        <w:tc>
          <w:tcPr>
            <w:tcW w:type="dxa" w:w="12950"/>
            <w:gridSpan w:val="8"/>
            <w:shd w:fill="FFFFFF" w:color="auto" w:val="clear"/>
            <w:tcMar>
              <w:top w:type="dxa" w:w="60"/>
              <w:left w:type="dxa" w:w="90"/>
              <w:bottom w:type="dxa" w:w="60"/>
              <w:right w:type="dxa" w:w="90"/>
            </w:tcMar>
            <w:vAlign w:val="center"/>
          </w:tcPr>
          <w:p>
            <w:pPr>
              <w:spacing w:after="60"/>
            </w:pPr>
            <w:r>
              <w:rPr>
                <w:b/>
                <w:bCs/>
              </w:rPr>
              <w:t xml:space="preserve">1. Formative</w:t>
            </w:r>
          </w:p>
          <w:p>
            <w:pPr>
              <w:spacing w:after="60"/>
            </w:pPr>
            <w:r>
              <w:rPr>
                <w:b/>
                <w:bCs/>
              </w:rPr>
              <w:t xml:space="preserve">Assessment Mode: Mixed (Questioning + Poster Critique + Written Analysis)</w:t>
            </w:r>
          </w:p>
          <w:p>
            <w:pPr>
              <w:spacing w:after="60"/>
            </w:pPr>
            <w:r>
              <w:rPr>
                <w:b/>
                <w:bCs/>
              </w:rPr>
              <w:t xml:space="preserve">Task:</w:t>
            </w:r>
          </w:p>
          <w:p>
            <w:pPr>
              <w:spacing w:after="60"/>
            </w:pPr>
            <w:r>
              <w:t xml:space="preserve">Lesson 1 – Questioning strategy: teacher poses one question at a time on the three seashore zones during group work, waits for responses, and probes for reasoning (e.g. 'Why would a barnacle in the supralittoral zone die if placed permanently underwater?').</w:t>
            </w:r>
          </w:p>
          <w:p>
            <w:pPr>
              <w:spacing w:after="60"/>
            </w:pPr>
            <w:r>
              <w:t xml:space="preserve">Lesson 2 – Critiquing strategy: groups display their seashore posters/cardboards from Activity 3.18–3.20; other groups use a shared checklist (zone named, organisms listed, adaptation linked to a named challenge) to give written peer feedback.</w:t>
            </w:r>
          </w:p>
          <w:p>
            <w:pPr>
              <w:spacing w:after="60"/>
            </w:pPr>
            <w:r>
              <w:t xml:space="preserve">Lesson 3 – Written analysis: last 15 minutes, learners complete an individual written comparison of seashore, river, lake and pond adaptations (see Transcript task).</w:t>
            </w:r>
          </w:p>
          <w:p>
            <w:pPr>
              <w:spacing w:after="60"/>
            </w:pPr>
            <w:r>
              <w:rPr>
                <w:b/>
                <w:bCs/>
              </w:rPr>
              <w:t xml:space="preserve">Mark Scheme:</w:t>
            </w:r>
          </w:p>
          <w:p>
            <w:pPr>
              <w:spacing w:after="60"/>
            </w:pPr>
            <w:r>
              <w:t xml:space="preserve">1 mark: correct zone/habitat named</w:t>
            </w:r>
          </w:p>
          <w:p>
            <w:pPr>
              <w:spacing w:after="60"/>
            </w:pPr>
            <w:r>
              <w:t xml:space="preserve">1 mark: at least one correct organism named for that zone/habitat</w:t>
            </w:r>
          </w:p>
          <w:p>
            <w:pPr>
              <w:spacing w:after="60"/>
            </w:pPr>
            <w:r>
              <w:t xml:space="preserve">2 marks: adaptation correctly linked to a specific environmental challenge (e.g. desiccation, wave force, low oxygen)</w:t>
            </w:r>
          </w:p>
          <w:p>
            <w:pPr>
              <w:spacing w:after="60"/>
            </w:pPr>
            <w:r>
              <w:t xml:space="preserve">1 mark: clear, relevant example drawn from Ghanaian context (Krokobite, Volta, Bosomtwe) where applicable</w:t>
            </w:r>
          </w:p>
          <w:p>
            <w:pPr>
              <w:spacing w:after="60"/>
            </w:pPr>
            <w:r>
              <w:rPr>
                <w:b/>
                <w:bCs/>
              </w:rPr>
              <w:t xml:space="preserve">2. Key Assessment for Student Transcript Portal</w:t>
            </w:r>
          </w:p>
          <w:p>
            <w:pPr>
              <w:spacing w:after="60"/>
            </w:pPr>
            <w:r>
              <w:rPr>
                <w:b/>
                <w:bCs/>
              </w:rPr>
              <w:t xml:space="preserve">Assessment Mode: Individual written test</w:t>
            </w:r>
          </w:p>
          <w:p>
            <w:pPr>
              <w:spacing w:after="60"/>
            </w:pPr>
            <w:r>
              <w:rPr>
                <w:b/>
                <w:bCs/>
              </w:rPr>
              <w:t xml:space="preserve">Task:</w:t>
            </w:r>
          </w:p>
          <w:p>
            <w:pPr>
              <w:spacing w:after="60"/>
            </w:pPr>
            <w:r>
              <w:t xml:space="preserve">Written analysis — last 15 minutes of Lesson 3 (Total: 13 marks)</w:t>
            </w:r>
          </w:p>
          <w:p>
            <w:pPr>
              <w:spacing w:after="60"/>
            </w:pPr>
            <w:r>
              <w:t xml:space="preserve">Q1 (DoK 1 – Recall, 3 marks): Name the three zones of the seashore in order from uppermost to always-submerged.</w:t>
            </w:r>
          </w:p>
          <w:p>
            <w:pPr>
              <w:spacing w:after="60"/>
            </w:pPr>
            <w:r>
              <w:t xml:space="preserve">Q2 (DoK 1 – Recall, 2 marks): List two organisms found in the littoral (intertidal) zone.</w:t>
            </w:r>
          </w:p>
          <w:p>
            <w:pPr>
              <w:spacing w:after="60"/>
            </w:pPr>
            <w:r>
              <w:t xml:space="preserve">Q3 (DoK 2 – Skill/Concept, 3 marks): Explain how a limpet's flattened body helps it survive on a rocky seashore.</w:t>
            </w:r>
          </w:p>
          <w:p>
            <w:pPr>
              <w:spacing w:after="60"/>
            </w:pPr>
            <w:r>
              <w:t xml:space="preserve">Q4 (DoK 3 – Strategic Thinking, 3 marks): Compare one adaptation of a river organism with one adaptation of a lake organism that serve the same survival purpose (e.g. staying afloat or breathing).</w:t>
            </w:r>
          </w:p>
          <w:p>
            <w:pPr>
              <w:spacing w:after="60"/>
            </w:pPr>
            <w:r>
              <w:t xml:space="preserve">Q5 (DoK 4 – Extended Thinking, 2 marks): A pond near a Ghanaian farming community is drying up in the dry season. Predict what would happen to the fish and amphibians there, and suggest, with reasons, one adaptation that would most help a species survive this change.</w:t>
            </w:r>
          </w:p>
          <w:p>
            <w:pPr>
              <w:spacing w:after="60"/>
            </w:pPr>
            <w:r>
              <w:rPr>
                <w:b/>
                <w:bCs/>
              </w:rPr>
              <w:t xml:space="preserve">Rubric/Mark Scheme:</w:t>
            </w:r>
          </w:p>
          <w:p>
            <w:pPr>
              <w:spacing w:after="60"/>
            </w:pPr>
            <w:r>
              <w:t xml:space="preserve">Q1: one mark per zone named correctly, in correct order — 3 marks</w:t>
            </w:r>
          </w:p>
          <w:p>
            <w:pPr>
              <w:spacing w:after="60"/>
            </w:pPr>
            <w:r>
              <w:t xml:space="preserve">Q2: one mark per correctly identified organism — 2 marks</w:t>
            </w:r>
          </w:p>
          <w:p>
            <w:pPr>
              <w:spacing w:after="60"/>
            </w:pPr>
            <w:r>
              <w:t xml:space="preserve">Q3: 1 mark for stating the challenge (wave force/desiccation), 2 marks for explaining the mechanism — 3 marks</w:t>
            </w:r>
          </w:p>
          <w:p>
            <w:pPr>
              <w:spacing w:after="60"/>
            </w:pPr>
            <w:r>
              <w:t xml:space="preserve">Q4: 1 mark per organism/adaptation correctly stated, 1 mark for a valid comparative link between them — 3 marks</w:t>
            </w:r>
          </w:p>
          <w:p>
            <w:pPr>
              <w:spacing w:after="60"/>
            </w:pPr>
            <w:r>
              <w:t xml:space="preserve">Q5: 1 mark for a reasoned prediction, 1 mark for a plausible, well-justified adaptation — 2 marks</w:t>
            </w:r>
          </w:p>
          <w:p>
            <w:pPr>
              <w:spacing w:after="60"/>
            </w:pPr>
            <w:r>
              <w:rPr>
                <w:b/>
                <w:bCs/>
              </w:rPr>
              <w:t xml:space="preserve">Overall Marking Guide:</w:t>
            </w:r>
          </w:p>
          <w:p>
            <w:pPr>
              <w:spacing w:after="60"/>
            </w:pPr>
            <w:r>
              <w:t xml:space="preserve">11–13: A – Excellent · 9–10: B – Good · 7–8: C – Satisfactory · 5–6: D – Needs Improvement · 0–4: E – Insufficient</w:t>
            </w:r>
          </w:p>
        </w:tc>
      </w:tr>
      <w:tr>
        <w:tc>
          <w:tcPr>
            <w:tcW w:type="dxa" w:w="12950"/>
            <w:gridSpan w:val="8"/>
            <w:shd w:fill="F2CEED" w:color="auto" w:val="clear"/>
            <w:tcMar>
              <w:top w:type="dxa" w:w="60"/>
              <w:left w:type="dxa" w:w="90"/>
              <w:bottom w:type="dxa" w:w="60"/>
              <w:right w:type="dxa" w:w="90"/>
            </w:tcMar>
            <w:vAlign w:val="center"/>
          </w:tcPr>
          <w:p>
            <w:pPr>
              <w:spacing w:after="60"/>
            </w:pPr>
            <w:r>
              <w:rPr>
                <w:b/>
                <w:bCs/>
              </w:rPr>
              <w:t xml:space="preserve">Reflection &amp; Remarks</w:t>
            </w:r>
          </w:p>
        </w:tc>
      </w:tr>
      <w:tr>
        <w:tc>
          <w:tcPr>
            <w:tcW w:type="dxa" w:w="12950"/>
            <w:gridSpan w:val="8"/>
            <w:shd w:fill="FFFFFF" w:color="auto" w:val="clear"/>
            <w:tcMar>
              <w:top w:type="dxa" w:w="60"/>
              <w:left w:type="dxa" w:w="90"/>
              <w:bottom w:type="dxa" w:w="60"/>
              <w:right w:type="dxa" w:w="90"/>
            </w:tcMar>
            <w:vAlign w:val="center"/>
          </w:tcPr>
          <w:p/>
        </w:tc>
      </w:tr>
    </w:tbl>
    <w:sectPr>
      <w:pgSz w:w="15840" w:h="12240" w:orient="landscape"/>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A1A1A"/>
        <w:sz w:val="20"/>
        <w:szCs w:val="20"/>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DocTitle">
    <w:name w:val="Doc Title"/>
    <w:basedOn w:val="Normal"/>
    <w:pPr>
      <w:spacing w:after="60"/>
      <w:jc w:val="center"/>
    </w:pPr>
    <w:rPr>
      <w:b/>
      <w:bCs/>
      <w:color w:val="1A1A1A"/>
      <w:sz w:val="36"/>
      <w:szCs w:val="36"/>
    </w:rPr>
  </w:style>
  <w:style w:type="paragraph" w:styleId="DocSubtitle">
    <w:name w:val="Doc Subtitle"/>
    <w:basedOn w:val="Normal"/>
    <w:pPr>
      <w:spacing w:after="280"/>
      <w:jc w:val="center"/>
    </w:pPr>
    <w:rPr>
      <w:color w:val="1A1A1A"/>
      <w:sz w:val="24"/>
      <w:szCs w:val="24"/>
    </w:rPr>
  </w:style>
  <w:style w:type="paragraph" w:styleId="SectionHeading">
    <w:name w:val="Section Heading"/>
    <w:basedOn w:val="Normal"/>
    <w:pPr>
      <w:pBdr>
        <w:bottom w:val="single" w:color="BFBFBF" w:sz="6" w:space="4"/>
      </w:pBdr>
      <w:spacing w:after="140" w:before="360"/>
    </w:pPr>
    <w:rPr>
      <w:b/>
      <w:bCs/>
      <w:color w:val="1A1A1A"/>
      <w:sz w:val="30"/>
      <w:szCs w:val="30"/>
    </w:rPr>
  </w:style>
  <w:style w:type="paragraph" w:styleId="LessonHeading">
    <w:name w:val="Lesson Heading"/>
    <w:basedOn w:val="Normal"/>
    <w:pPr>
      <w:spacing w:after="120" w:before="320"/>
    </w:pPr>
    <w:rPr>
      <w:b/>
      <w:bCs/>
      <w:color w:val="1A1A1A"/>
      <w:sz w:val="24"/>
      <w:szCs w:val="24"/>
    </w:rPr>
  </w:style>
  <w:style w:type="paragraph" w:styleId="SubHeading">
    <w:name w:val="Sub Heading"/>
    <w:basedOn w:val="Normal"/>
    <w:pPr>
      <w:spacing w:after="80" w:before="200"/>
    </w:pPr>
    <w:rPr>
      <w:b/>
      <w:bCs/>
      <w:color w:val="1A1A1A"/>
      <w:sz w:val="22"/>
      <w:szCs w:val="22"/>
    </w:rPr>
  </w:style>
  <w:style w:type="paragraph" w:styleId="Meta">
    <w:name w:val="Meta"/>
    <w:basedOn w:val="Normal"/>
    <w:pPr>
      <w:spacing w:after="120"/>
    </w:pPr>
    <w:rPr>
      <w:i/>
      <w:iCs/>
      <w:color w:val="444444"/>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2026-09-12T18:57:33.036Z</dcterms:created>
  <dcterms:modified xsi:type="dcterms:W3CDTF">2026-09-12T18:57:33.037Z</dcterms:modified>
</cp:coreProperties>
</file>

<file path=docProps/custom.xml><?xml version="1.0" encoding="utf-8"?>
<Properties xmlns="http://schemas.openxmlformats.org/officeDocument/2006/custom-properties" xmlns:vt="http://schemas.openxmlformats.org/officeDocument/2006/docPropsVTypes"/>
</file>